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A1" w:rsidRDefault="000F3BA1">
      <w:pPr>
        <w:spacing w:line="240" w:lineRule="auto"/>
        <w:jc w:val="center"/>
        <w:rPr>
          <w:rFonts w:ascii="Times New Roman" w:hAnsi="Times New Roman" w:cs="Times New Roman"/>
          <w:sz w:val="24"/>
          <w:szCs w:val="24"/>
        </w:rPr>
      </w:pPr>
      <w:r>
        <w:rPr>
          <w:rFonts w:ascii="Times New Roman" w:hAnsi="Times New Roman" w:cs="Times New Roman"/>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529.5pt" o:ole="">
            <v:imagedata r:id="rId8" o:title=""/>
          </v:shape>
          <o:OLEObject Type="Embed" ProgID="Acrobat.Document.DC" ShapeID="_x0000_i1025" DrawAspect="Content" ObjectID="_1758960965" r:id="rId9"/>
        </w:object>
      </w:r>
      <w:bookmarkStart w:id="0" w:name="_GoBack"/>
      <w:bookmarkEnd w:id="0"/>
    </w:p>
    <w:p w:rsidR="000F3BA1" w:rsidRDefault="000F3BA1">
      <w:pPr>
        <w:spacing w:line="240" w:lineRule="auto"/>
        <w:jc w:val="center"/>
        <w:rPr>
          <w:rFonts w:ascii="Times New Roman" w:hAnsi="Times New Roman" w:cs="Times New Roman"/>
          <w:sz w:val="24"/>
          <w:szCs w:val="24"/>
        </w:rPr>
      </w:pPr>
    </w:p>
    <w:p w:rsidR="009B5812" w:rsidRDefault="00BB78C7" w:rsidP="000F3BA1">
      <w:pPr>
        <w:spacing w:line="240" w:lineRule="auto"/>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C15231" w:rsidRDefault="009B581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78C7">
        <w:rPr>
          <w:rFonts w:ascii="Times New Roman" w:hAnsi="Times New Roman" w:cs="Times New Roman"/>
          <w:sz w:val="24"/>
          <w:szCs w:val="24"/>
        </w:rPr>
        <w:t xml:space="preserve">Программа создана с учетом рекомендаций работников ГИББД, интересов детей и их возрастных особенностей. Способствует охране жизни и здоровья юных граждан, защите их прав и законных интересов путем предупреждения дорожно-транспортных происшествий. </w:t>
      </w:r>
    </w:p>
    <w:p w:rsidR="00C15231" w:rsidRDefault="00BB78C7">
      <w:pPr>
        <w:pStyle w:val="a5"/>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Цели и задачи.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для формирования у школьников устойчивых навыков безопасного поведения на улицах и дорогах. Целевые параметры правил безопасного поведения на улицах и дорогах: - относиться к правилам дорожного движения как к важной общественной ценности; - владеть методами предупреждения ДДТТ и оказания первой помощи пострадавшим при ДТП, навыками пропаганды ПДД; - владеть навыками безопасного поведения на улицах и дорогах. -знакомство с требованиями, предъявляемыми к пешеходам, пассажирам и велосипедистам, привитие навыков правильного поведения на улице и в случае дорожно- транспортного происшествия. </w:t>
      </w:r>
    </w:p>
    <w:p w:rsidR="00C15231" w:rsidRDefault="00BB78C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Задачи: </w:t>
      </w:r>
    </w:p>
    <w:p w:rsidR="00C15231" w:rsidRDefault="00BB78C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формировать у обучающихся устойчивые навыки соблюдения и выполнения правил дорожного движения; </w:t>
      </w:r>
    </w:p>
    <w:p w:rsidR="00C15231" w:rsidRDefault="00BB78C7">
      <w:pPr>
        <w:spacing w:line="240" w:lineRule="auto"/>
        <w:ind w:left="360"/>
        <w:rPr>
          <w:rFonts w:ascii="Times New Roman" w:hAnsi="Times New Roman" w:cs="Times New Roman"/>
          <w:sz w:val="24"/>
          <w:szCs w:val="24"/>
        </w:rPr>
      </w:pPr>
      <w:r>
        <w:rPr>
          <w:rFonts w:ascii="Times New Roman" w:hAnsi="Times New Roman" w:cs="Times New Roman"/>
          <w:sz w:val="24"/>
          <w:szCs w:val="24"/>
        </w:rPr>
        <w:t>- привить культуру безопасного поведения на дорогах;</w:t>
      </w:r>
    </w:p>
    <w:p w:rsidR="00C15231" w:rsidRDefault="00BB78C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во дворах;</w:t>
      </w:r>
    </w:p>
    <w:p w:rsidR="00C15231" w:rsidRDefault="00BB78C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 воспитать грамотных участников дорожного движения, формировать уважительное отношение к законам дороги, достигнуть осознания объективной целесообразности действующих правил и требований дорожного движения;</w:t>
      </w:r>
    </w:p>
    <w:p w:rsidR="00C15231" w:rsidRDefault="00BB78C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 привить первичные навыки оказания первой медицинской помощи при ДТП. 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2. Нормативно-правовое обеспечение программы:</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Конституция РФ.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Конвенция «О правах ребёнка».</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Правила дорожного движения.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3. Программа предусматривает следующие содержательные линии:</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учебные занятия по обучению правилам дорожного движения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проведение внеклассных мероприятий (игр, экскурсий, выставок детского творчества и т. д.) обеспечивающих прочное усвоение детьми навыков безопасного поведения на улице;</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сотрудничество с другими учреждениями по организации помощи в проведении работы по обучению школьников правилам безопасного поведения на улицах и дорогах города.</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4. Принципы реализации программы.</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Принцип индивидуального и дифференцированного подхода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Принцип возрастной безопасности. У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 либо, когда они находятся на дороге. Нужно формировать, развивать и совершенствовать целостность восприятия опасной дорожной среды , показывать конкретные безопасные действия выхода из опасных ситуаций.</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Принцип социальной безопасности. 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Принцип самоорганизации, саморегуляции и самовоспитания.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5. Методы реализации программы.</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Внушение. Дети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 разному.</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Убеждение – это доказательство истинности того или иного положения. На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 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 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Пример.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 Поэтому важно окружить школьников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Упражнение. Без упражнения нельзя сформировать у ребенка заданный тип поведения. Суть упражнения в многократном выполнении требуемых действий, доведении их доавтоматизма.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Поощрение. Это положительная оценка законопослушного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 Одобрение его поступков педагог выражает жестом, мимикой, похвалой перед классом.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6. Планируемые результаты образования.</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Личностный результат: повышение правовой культуры участников дорожного движения.</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инфомации, ресурсы Интернета; свободно пользоваться справочной литературой, в том числе и на электронных носителях;</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7. Основные требования к знаниям и умениям учащихся: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Знать: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правила дорожного движения;</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правила безопасного поведения на улице, на дороге;</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правила пользования общественным и личным транспортом;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Уметь: </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самостоятельно определять места для безопасного перехода улиц и дорог;</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пользоваться общественным транспортом;</w:t>
      </w:r>
    </w:p>
    <w:p w:rsidR="00C15231" w:rsidRDefault="00BB78C7">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 - применять знания правил дорожного движения на практике.</w:t>
      </w:r>
    </w:p>
    <w:p w:rsidR="00C15231" w:rsidRDefault="00C15231">
      <w:pPr>
        <w:pStyle w:val="a5"/>
        <w:spacing w:line="240" w:lineRule="auto"/>
        <w:rPr>
          <w:rFonts w:ascii="Times New Roman" w:hAnsi="Times New Roman" w:cs="Times New Roman"/>
          <w:sz w:val="24"/>
          <w:szCs w:val="24"/>
        </w:rPr>
      </w:pPr>
    </w:p>
    <w:tbl>
      <w:tblPr>
        <w:tblStyle w:val="a3"/>
        <w:tblW w:w="15740" w:type="dxa"/>
        <w:tblLook w:val="04A0" w:firstRow="1" w:lastRow="0" w:firstColumn="1" w:lastColumn="0" w:noHBand="0" w:noVBand="1"/>
      </w:tblPr>
      <w:tblGrid>
        <w:gridCol w:w="600"/>
        <w:gridCol w:w="2596"/>
        <w:gridCol w:w="1517"/>
        <w:gridCol w:w="6001"/>
        <w:gridCol w:w="1566"/>
        <w:gridCol w:w="1862"/>
        <w:gridCol w:w="1598"/>
      </w:tblGrid>
      <w:tr w:rsidR="00C15231">
        <w:trPr>
          <w:trHeight w:val="206"/>
        </w:trPr>
        <w:tc>
          <w:tcPr>
            <w:tcW w:w="0" w:type="auto"/>
            <w:vMerge w:val="restart"/>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2596" w:type="dxa"/>
            <w:vMerge w:val="restart"/>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517" w:type="dxa"/>
            <w:vMerge w:val="restart"/>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0" w:type="auto"/>
            <w:vMerge w:val="restart"/>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3428" w:type="dxa"/>
            <w:gridSpan w:val="2"/>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598" w:type="dxa"/>
            <w:vMerge w:val="restart"/>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C15231">
        <w:trPr>
          <w:trHeight w:val="131"/>
        </w:trPr>
        <w:tc>
          <w:tcPr>
            <w:tcW w:w="0" w:type="auto"/>
            <w:vMerge/>
          </w:tcPr>
          <w:p w:rsidR="00C15231" w:rsidRDefault="00C15231">
            <w:pPr>
              <w:spacing w:after="0" w:line="240" w:lineRule="auto"/>
              <w:jc w:val="center"/>
              <w:rPr>
                <w:rFonts w:ascii="Times New Roman" w:hAnsi="Times New Roman" w:cs="Times New Roman"/>
                <w:b/>
                <w:sz w:val="24"/>
                <w:szCs w:val="24"/>
              </w:rPr>
            </w:pPr>
          </w:p>
        </w:tc>
        <w:tc>
          <w:tcPr>
            <w:tcW w:w="2596" w:type="dxa"/>
            <w:vMerge/>
          </w:tcPr>
          <w:p w:rsidR="00C15231" w:rsidRDefault="00C15231">
            <w:pPr>
              <w:spacing w:after="0" w:line="240" w:lineRule="auto"/>
              <w:jc w:val="center"/>
              <w:rPr>
                <w:rFonts w:ascii="Times New Roman" w:hAnsi="Times New Roman" w:cs="Times New Roman"/>
                <w:b/>
                <w:sz w:val="24"/>
                <w:szCs w:val="24"/>
              </w:rPr>
            </w:pPr>
          </w:p>
        </w:tc>
        <w:tc>
          <w:tcPr>
            <w:tcW w:w="1517" w:type="dxa"/>
            <w:vMerge/>
          </w:tcPr>
          <w:p w:rsidR="00C15231" w:rsidRDefault="00C15231">
            <w:pPr>
              <w:spacing w:after="0" w:line="240" w:lineRule="auto"/>
              <w:jc w:val="center"/>
              <w:rPr>
                <w:rFonts w:ascii="Times New Roman" w:hAnsi="Times New Roman" w:cs="Times New Roman"/>
                <w:b/>
                <w:sz w:val="24"/>
                <w:szCs w:val="24"/>
              </w:rPr>
            </w:pPr>
          </w:p>
        </w:tc>
        <w:tc>
          <w:tcPr>
            <w:tcW w:w="0" w:type="auto"/>
            <w:vMerge/>
          </w:tcPr>
          <w:p w:rsidR="00C15231" w:rsidRDefault="00C15231">
            <w:pPr>
              <w:spacing w:after="0" w:line="240" w:lineRule="auto"/>
              <w:jc w:val="center"/>
              <w:rPr>
                <w:rFonts w:ascii="Times New Roman" w:hAnsi="Times New Roman" w:cs="Times New Roman"/>
                <w:b/>
                <w:sz w:val="24"/>
                <w:szCs w:val="24"/>
              </w:rPr>
            </w:pPr>
          </w:p>
        </w:tc>
        <w:tc>
          <w:tcPr>
            <w:tcW w:w="1566" w:type="dxa"/>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862" w:type="dxa"/>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598" w:type="dxa"/>
            <w:vMerge/>
          </w:tcPr>
          <w:p w:rsidR="00C15231" w:rsidRDefault="00C15231">
            <w:pPr>
              <w:spacing w:after="0" w:line="240" w:lineRule="auto"/>
              <w:jc w:val="center"/>
              <w:rPr>
                <w:rFonts w:ascii="Times New Roman" w:hAnsi="Times New Roman" w:cs="Times New Roman"/>
                <w:b/>
                <w:sz w:val="24"/>
                <w:szCs w:val="24"/>
              </w:rPr>
            </w:pPr>
          </w:p>
        </w:tc>
      </w:tr>
      <w:tr w:rsidR="00C15231">
        <w:trPr>
          <w:trHeight w:val="337"/>
        </w:trPr>
        <w:tc>
          <w:tcPr>
            <w:tcW w:w="0" w:type="auto"/>
            <w:gridSpan w:val="7"/>
          </w:tcPr>
          <w:p w:rsidR="00C15231" w:rsidRDefault="00BB7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r>
      <w:tr w:rsidR="00C15231">
        <w:trPr>
          <w:trHeight w:val="337"/>
        </w:trPr>
        <w:tc>
          <w:tcPr>
            <w:tcW w:w="0" w:type="auto"/>
          </w:tcPr>
          <w:p w:rsidR="00C15231" w:rsidRDefault="00BB78C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Правила движения – закон улиц и дорог</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 возможные причины и последствия дорожно-транспортных происшествий;</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b/>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37"/>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Причины дорожно-транспортных происшествий</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Pr>
          <w:p w:rsidR="00C15231" w:rsidRDefault="00C15231">
            <w:pPr>
              <w:spacing w:after="0" w:line="240" w:lineRule="auto"/>
              <w:jc w:val="center"/>
              <w:rPr>
                <w:rFonts w:ascii="Times New Roman" w:hAnsi="Times New Roman" w:cs="Times New Roman"/>
                <w:sz w:val="24"/>
                <w:szCs w:val="24"/>
              </w:rPr>
            </w:pP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37"/>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Назначение дорожной разметки</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Pr>
          <w:p w:rsidR="00C15231" w:rsidRDefault="00C15231">
            <w:pPr>
              <w:spacing w:after="0" w:line="240" w:lineRule="auto"/>
              <w:jc w:val="center"/>
              <w:rPr>
                <w:rFonts w:ascii="Times New Roman" w:hAnsi="Times New Roman" w:cs="Times New Roman"/>
                <w:sz w:val="24"/>
                <w:szCs w:val="24"/>
              </w:rPr>
            </w:pP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gridSpan w:val="7"/>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Название раздела</w:t>
            </w: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Сигналы светофора с дополнительными секциями.</w:t>
            </w:r>
          </w:p>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Сигналы регулировщика</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 возможные сигналы регулировщика, а также сигналы светофора с дополнительными секциями;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w:t>
            </w:r>
            <w:r>
              <w:rPr>
                <w:rFonts w:ascii="Times New Roman" w:hAnsi="Times New Roman" w:cs="Times New Roman"/>
                <w:sz w:val="24"/>
                <w:szCs w:val="24"/>
              </w:rPr>
              <w:lastRenderedPageBreak/>
              <w:t>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6" w:type="dxa"/>
            <w:vMerge w:val="restart"/>
            <w:vAlign w:val="center"/>
          </w:tcPr>
          <w:p w:rsidR="00C15231" w:rsidRDefault="00C15231">
            <w:pPr>
              <w:tabs>
                <w:tab w:val="left" w:pos="4161"/>
              </w:tabs>
              <w:spacing w:after="0" w:line="240" w:lineRule="auto"/>
              <w:jc w:val="center"/>
              <w:rPr>
                <w:rFonts w:ascii="Times New Roman" w:hAnsi="Times New Roman" w:cs="Times New Roman"/>
              </w:rPr>
            </w:pPr>
          </w:p>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Дорожные знаки и их назначение</w:t>
            </w:r>
          </w:p>
        </w:tc>
        <w:tc>
          <w:tcPr>
            <w:tcW w:w="1517" w:type="dxa"/>
            <w:vMerge w:val="restart"/>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vMerge w:val="restart"/>
          </w:tcPr>
          <w:p w:rsidR="00C15231" w:rsidRDefault="00C15231">
            <w:pPr>
              <w:spacing w:after="0" w:line="240" w:lineRule="auto"/>
              <w:jc w:val="center"/>
              <w:rPr>
                <w:rFonts w:ascii="Times New Roman" w:hAnsi="Times New Roman" w:cs="Times New Roman"/>
                <w:sz w:val="24"/>
                <w:szCs w:val="24"/>
              </w:rPr>
            </w:pPr>
          </w:p>
        </w:tc>
        <w:tc>
          <w:tcPr>
            <w:tcW w:w="1862" w:type="dxa"/>
            <w:vMerge w:val="restart"/>
          </w:tcPr>
          <w:p w:rsidR="00C15231" w:rsidRDefault="00C15231">
            <w:pPr>
              <w:spacing w:after="0" w:line="240" w:lineRule="auto"/>
              <w:jc w:val="center"/>
              <w:rPr>
                <w:rFonts w:ascii="Times New Roman" w:hAnsi="Times New Roman" w:cs="Times New Roman"/>
                <w:sz w:val="24"/>
                <w:szCs w:val="24"/>
              </w:rPr>
            </w:pPr>
          </w:p>
        </w:tc>
        <w:tc>
          <w:tcPr>
            <w:tcW w:w="1598" w:type="dxa"/>
            <w:vMerge w:val="restart"/>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96" w:type="dxa"/>
            <w:vMerge/>
            <w:vAlign w:val="center"/>
          </w:tcPr>
          <w:p w:rsidR="00C15231" w:rsidRDefault="00C15231">
            <w:pPr>
              <w:tabs>
                <w:tab w:val="left" w:pos="4161"/>
              </w:tabs>
              <w:spacing w:after="0" w:line="240" w:lineRule="auto"/>
              <w:jc w:val="center"/>
              <w:rPr>
                <w:rFonts w:ascii="Times New Roman" w:hAnsi="Times New Roman" w:cs="Times New Roman"/>
              </w:rPr>
            </w:pPr>
          </w:p>
        </w:tc>
        <w:tc>
          <w:tcPr>
            <w:tcW w:w="1517" w:type="dxa"/>
            <w:vMerge/>
          </w:tcPr>
          <w:p w:rsidR="00C15231" w:rsidRDefault="00C15231">
            <w:pPr>
              <w:spacing w:after="0" w:line="240" w:lineRule="auto"/>
              <w:jc w:val="center"/>
              <w:rPr>
                <w:rFonts w:ascii="Times New Roman" w:hAnsi="Times New Roman" w:cs="Times New Roman"/>
                <w:sz w:val="24"/>
                <w:szCs w:val="24"/>
              </w:rPr>
            </w:pPr>
          </w:p>
        </w:tc>
        <w:tc>
          <w:tcPr>
            <w:tcW w:w="0" w:type="auto"/>
            <w:vMerge/>
          </w:tcPr>
          <w:p w:rsidR="00C15231" w:rsidRDefault="00C15231">
            <w:pPr>
              <w:spacing w:after="0" w:line="240" w:lineRule="auto"/>
              <w:jc w:val="center"/>
              <w:rPr>
                <w:rFonts w:ascii="Times New Roman" w:hAnsi="Times New Roman" w:cs="Times New Roman"/>
                <w:sz w:val="24"/>
                <w:szCs w:val="24"/>
              </w:rPr>
            </w:pPr>
          </w:p>
        </w:tc>
        <w:tc>
          <w:tcPr>
            <w:tcW w:w="0" w:type="auto"/>
            <w:vMerge/>
          </w:tcPr>
          <w:p w:rsidR="00C15231" w:rsidRDefault="00C15231">
            <w:pPr>
              <w:spacing w:after="0" w:line="240" w:lineRule="auto"/>
              <w:jc w:val="center"/>
              <w:rPr>
                <w:rFonts w:ascii="Times New Roman" w:hAnsi="Times New Roman" w:cs="Times New Roman"/>
                <w:sz w:val="24"/>
                <w:szCs w:val="24"/>
              </w:rPr>
            </w:pPr>
          </w:p>
        </w:tc>
        <w:tc>
          <w:tcPr>
            <w:tcW w:w="1862" w:type="dxa"/>
            <w:vMerge/>
          </w:tcPr>
          <w:p w:rsidR="00C15231" w:rsidRDefault="00C15231">
            <w:pPr>
              <w:spacing w:after="0" w:line="240" w:lineRule="auto"/>
              <w:jc w:val="center"/>
              <w:rPr>
                <w:rFonts w:ascii="Times New Roman" w:hAnsi="Times New Roman" w:cs="Times New Roman"/>
                <w:sz w:val="24"/>
                <w:szCs w:val="24"/>
              </w:rPr>
            </w:pPr>
          </w:p>
        </w:tc>
        <w:tc>
          <w:tcPr>
            <w:tcW w:w="1598" w:type="dxa"/>
            <w:vMerge/>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Организация дорожного движения. Правила перехода улиц и дорог</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правила перехода улиц и дорог;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извлекать информацию из различных источников, включая средства массовой информации, ресурсы Интернета; свободно пользоваться справочной </w:t>
            </w:r>
            <w:r>
              <w:rPr>
                <w:rFonts w:ascii="Times New Roman" w:hAnsi="Times New Roman" w:cs="Times New Roman"/>
                <w:sz w:val="24"/>
                <w:szCs w:val="24"/>
              </w:rPr>
              <w:lastRenderedPageBreak/>
              <w:t>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96" w:type="dxa"/>
            <w:vMerge w:val="restart"/>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Типичные опасные ситуации на дорогах с пешеходами</w:t>
            </w:r>
          </w:p>
        </w:tc>
        <w:tc>
          <w:tcPr>
            <w:tcW w:w="1517" w:type="dxa"/>
            <w:vMerge w:val="restart"/>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возможные опасные ситуации на дорогах и способы их разрешения;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vMerge w:val="restart"/>
          </w:tcPr>
          <w:p w:rsidR="00C15231" w:rsidRDefault="00C15231">
            <w:pPr>
              <w:spacing w:after="0" w:line="240" w:lineRule="auto"/>
              <w:jc w:val="center"/>
              <w:rPr>
                <w:rFonts w:ascii="Times New Roman" w:hAnsi="Times New Roman" w:cs="Times New Roman"/>
                <w:sz w:val="24"/>
                <w:szCs w:val="24"/>
              </w:rPr>
            </w:pPr>
          </w:p>
        </w:tc>
        <w:tc>
          <w:tcPr>
            <w:tcW w:w="1862" w:type="dxa"/>
            <w:vMerge w:val="restart"/>
          </w:tcPr>
          <w:p w:rsidR="00C15231" w:rsidRDefault="00C15231">
            <w:pPr>
              <w:spacing w:after="0" w:line="240" w:lineRule="auto"/>
              <w:jc w:val="center"/>
              <w:rPr>
                <w:rFonts w:ascii="Times New Roman" w:hAnsi="Times New Roman" w:cs="Times New Roman"/>
                <w:sz w:val="24"/>
                <w:szCs w:val="24"/>
              </w:rPr>
            </w:pPr>
          </w:p>
        </w:tc>
        <w:tc>
          <w:tcPr>
            <w:tcW w:w="1598" w:type="dxa"/>
            <w:vMerge w:val="restart"/>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96" w:type="dxa"/>
            <w:vMerge/>
            <w:vAlign w:val="center"/>
          </w:tcPr>
          <w:p w:rsidR="00C15231" w:rsidRDefault="00C15231">
            <w:pPr>
              <w:tabs>
                <w:tab w:val="left" w:pos="4161"/>
              </w:tabs>
              <w:spacing w:after="0" w:line="240" w:lineRule="auto"/>
              <w:jc w:val="center"/>
              <w:rPr>
                <w:rFonts w:ascii="Times New Roman" w:hAnsi="Times New Roman" w:cs="Times New Roman"/>
              </w:rPr>
            </w:pPr>
          </w:p>
        </w:tc>
        <w:tc>
          <w:tcPr>
            <w:tcW w:w="1517" w:type="dxa"/>
            <w:vMerge/>
          </w:tcPr>
          <w:p w:rsidR="00C15231" w:rsidRDefault="00C15231">
            <w:pPr>
              <w:spacing w:after="0" w:line="240" w:lineRule="auto"/>
              <w:jc w:val="center"/>
              <w:rPr>
                <w:rFonts w:ascii="Times New Roman" w:hAnsi="Times New Roman" w:cs="Times New Roman"/>
                <w:sz w:val="24"/>
                <w:szCs w:val="24"/>
              </w:rPr>
            </w:pPr>
          </w:p>
        </w:tc>
        <w:tc>
          <w:tcPr>
            <w:tcW w:w="0" w:type="auto"/>
            <w:vMerge/>
          </w:tcPr>
          <w:p w:rsidR="00C15231" w:rsidRDefault="00C15231">
            <w:pPr>
              <w:spacing w:after="0" w:line="240" w:lineRule="auto"/>
              <w:jc w:val="center"/>
              <w:rPr>
                <w:rFonts w:ascii="Times New Roman" w:hAnsi="Times New Roman" w:cs="Times New Roman"/>
                <w:sz w:val="24"/>
                <w:szCs w:val="24"/>
              </w:rPr>
            </w:pPr>
          </w:p>
        </w:tc>
        <w:tc>
          <w:tcPr>
            <w:tcW w:w="0" w:type="auto"/>
            <w:vMerge/>
          </w:tcPr>
          <w:p w:rsidR="00C15231" w:rsidRDefault="00C15231">
            <w:pPr>
              <w:spacing w:after="0" w:line="240" w:lineRule="auto"/>
              <w:jc w:val="center"/>
              <w:rPr>
                <w:rFonts w:ascii="Times New Roman" w:hAnsi="Times New Roman" w:cs="Times New Roman"/>
                <w:sz w:val="24"/>
                <w:szCs w:val="24"/>
              </w:rPr>
            </w:pPr>
          </w:p>
        </w:tc>
        <w:tc>
          <w:tcPr>
            <w:tcW w:w="1862" w:type="dxa"/>
            <w:vMerge/>
          </w:tcPr>
          <w:p w:rsidR="00C15231" w:rsidRDefault="00C15231">
            <w:pPr>
              <w:spacing w:after="0" w:line="240" w:lineRule="auto"/>
              <w:jc w:val="center"/>
              <w:rPr>
                <w:rFonts w:ascii="Times New Roman" w:hAnsi="Times New Roman" w:cs="Times New Roman"/>
                <w:sz w:val="24"/>
                <w:szCs w:val="24"/>
              </w:rPr>
            </w:pPr>
          </w:p>
        </w:tc>
        <w:tc>
          <w:tcPr>
            <w:tcW w:w="1598" w:type="dxa"/>
            <w:vMerge/>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 xml:space="preserve">Порядок движения групп детей в городе и за </w:t>
            </w:r>
            <w:r>
              <w:rPr>
                <w:rFonts w:ascii="Times New Roman" w:hAnsi="Times New Roman" w:cs="Times New Roman"/>
              </w:rPr>
              <w:lastRenderedPageBreak/>
              <w:t>городом</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порядок и правила действий при групповых движениях по городу или за ним;</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Скрытые опасности на дороге. Дорожные «ловушки»</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w:t>
            </w:r>
            <w:r>
              <w:rPr>
                <w:rFonts w:ascii="Times New Roman" w:hAnsi="Times New Roman" w:cs="Times New Roman"/>
                <w:sz w:val="24"/>
                <w:szCs w:val="24"/>
              </w:rPr>
              <w:lastRenderedPageBreak/>
              <w:t xml:space="preserve">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tabs>
                <w:tab w:val="left" w:pos="915"/>
              </w:tabs>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Предупредительные сигналы водителей</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предупредительные сигналы водителей;</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Транспортные средства и дорожное движение</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виды транспортных средств и разрешенное движение на них;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извлекать информацию из различных источников, включая средства массовой информации, </w:t>
            </w:r>
            <w:r>
              <w:rPr>
                <w:rFonts w:ascii="Times New Roman" w:hAnsi="Times New Roman" w:cs="Times New Roman"/>
                <w:sz w:val="24"/>
                <w:szCs w:val="24"/>
              </w:rPr>
              <w:lastRenderedPageBreak/>
              <w:t>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Железнодорожный переезд. Правила перехода и переезда</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правила перехода и переезда железнодорожных путей;</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Правила езды на велосипеде</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-правила езды на велосипеде;</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Культура транспортного поведения и ответственность за нарушение ПДД</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w:t>
            </w:r>
            <w:r>
              <w:rPr>
                <w:rFonts w:ascii="Times New Roman" w:hAnsi="Times New Roman" w:cs="Times New Roman"/>
                <w:sz w:val="24"/>
                <w:szCs w:val="24"/>
              </w:rPr>
              <w:lastRenderedPageBreak/>
              <w:t xml:space="preserve">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r w:rsidR="00C15231">
        <w:trPr>
          <w:trHeight w:val="356"/>
        </w:trPr>
        <w:tc>
          <w:tcPr>
            <w:tcW w:w="0" w:type="auto"/>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596" w:type="dxa"/>
            <w:vAlign w:val="center"/>
          </w:tcPr>
          <w:p w:rsidR="00C15231" w:rsidRDefault="00BB78C7">
            <w:pPr>
              <w:tabs>
                <w:tab w:val="left" w:pos="4161"/>
              </w:tabs>
              <w:spacing w:after="0" w:line="240" w:lineRule="auto"/>
              <w:jc w:val="center"/>
              <w:rPr>
                <w:rFonts w:ascii="Times New Roman" w:hAnsi="Times New Roman" w:cs="Times New Roman"/>
              </w:rPr>
            </w:pPr>
            <w:r>
              <w:rPr>
                <w:rFonts w:ascii="Times New Roman" w:hAnsi="Times New Roman" w:cs="Times New Roman"/>
              </w:rPr>
              <w:t>Итоговое занятие. Тестирование</w:t>
            </w:r>
          </w:p>
        </w:tc>
        <w:tc>
          <w:tcPr>
            <w:tcW w:w="1517" w:type="dxa"/>
          </w:tcPr>
          <w:p w:rsidR="00C15231" w:rsidRDefault="00BB7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знать правила дорожного движения;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группы знаков и их назначение, место установки;</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назначение дорожной разметки и её виды;</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 адекватное понимание информации устного и письменного сообщения;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ресурсы Интернета; свободно пользоваться справочной литературой, в том числе и на электронных носителях;</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формах. </w:t>
            </w:r>
          </w:p>
          <w:p w:rsidR="00C15231" w:rsidRDefault="00BB78C7">
            <w:pPr>
              <w:spacing w:after="0" w:line="240" w:lineRule="auto"/>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повышение правовой культуры участников дорожного движения.</w:t>
            </w:r>
          </w:p>
          <w:p w:rsidR="00C15231" w:rsidRDefault="00C15231">
            <w:pPr>
              <w:spacing w:after="0" w:line="240" w:lineRule="auto"/>
              <w:rPr>
                <w:rFonts w:ascii="Times New Roman" w:hAnsi="Times New Roman" w:cs="Times New Roman"/>
                <w:sz w:val="24"/>
                <w:szCs w:val="24"/>
              </w:rPr>
            </w:pPr>
          </w:p>
        </w:tc>
        <w:tc>
          <w:tcPr>
            <w:tcW w:w="0" w:type="auto"/>
          </w:tcPr>
          <w:p w:rsidR="00C15231" w:rsidRDefault="00C15231">
            <w:pPr>
              <w:spacing w:after="0" w:line="240" w:lineRule="auto"/>
              <w:jc w:val="center"/>
              <w:rPr>
                <w:rFonts w:ascii="Times New Roman" w:hAnsi="Times New Roman" w:cs="Times New Roman"/>
                <w:sz w:val="24"/>
                <w:szCs w:val="24"/>
              </w:rPr>
            </w:pPr>
          </w:p>
        </w:tc>
        <w:tc>
          <w:tcPr>
            <w:tcW w:w="1862" w:type="dxa"/>
          </w:tcPr>
          <w:p w:rsidR="00C15231" w:rsidRDefault="00C15231">
            <w:pPr>
              <w:spacing w:after="0" w:line="240" w:lineRule="auto"/>
              <w:jc w:val="center"/>
              <w:rPr>
                <w:rFonts w:ascii="Times New Roman" w:hAnsi="Times New Roman" w:cs="Times New Roman"/>
                <w:sz w:val="24"/>
                <w:szCs w:val="24"/>
              </w:rPr>
            </w:pPr>
          </w:p>
        </w:tc>
        <w:tc>
          <w:tcPr>
            <w:tcW w:w="1598" w:type="dxa"/>
          </w:tcPr>
          <w:p w:rsidR="00C15231" w:rsidRDefault="00C15231">
            <w:pPr>
              <w:spacing w:after="0" w:line="240" w:lineRule="auto"/>
              <w:jc w:val="center"/>
              <w:rPr>
                <w:rFonts w:ascii="Times New Roman" w:hAnsi="Times New Roman" w:cs="Times New Roman"/>
                <w:sz w:val="24"/>
                <w:szCs w:val="24"/>
              </w:rPr>
            </w:pPr>
          </w:p>
        </w:tc>
      </w:tr>
    </w:tbl>
    <w:p w:rsidR="00C15231" w:rsidRDefault="00C15231">
      <w:pPr>
        <w:pStyle w:val="a5"/>
        <w:spacing w:line="240" w:lineRule="auto"/>
        <w:jc w:val="center"/>
        <w:rPr>
          <w:rFonts w:ascii="Times New Roman" w:hAnsi="Times New Roman" w:cs="Times New Roman"/>
          <w:sz w:val="24"/>
          <w:szCs w:val="24"/>
        </w:rPr>
      </w:pPr>
    </w:p>
    <w:sectPr w:rsidR="00C15231" w:rsidSect="000F3BA1">
      <w:pgSz w:w="16838" w:h="11906" w:orient="landscape"/>
      <w:pgMar w:top="851"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02" w:rsidRDefault="009B2802">
      <w:pPr>
        <w:spacing w:line="240" w:lineRule="auto"/>
      </w:pPr>
      <w:r>
        <w:separator/>
      </w:r>
    </w:p>
  </w:endnote>
  <w:endnote w:type="continuationSeparator" w:id="0">
    <w:p w:rsidR="009B2802" w:rsidRDefault="009B2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02" w:rsidRDefault="009B2802">
      <w:pPr>
        <w:spacing w:after="0"/>
      </w:pPr>
      <w:r>
        <w:separator/>
      </w:r>
    </w:p>
  </w:footnote>
  <w:footnote w:type="continuationSeparator" w:id="0">
    <w:p w:rsidR="009B2802" w:rsidRDefault="009B28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55B76"/>
    <w:multiLevelType w:val="multilevel"/>
    <w:tmpl w:val="7C255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02FF"/>
    <w:rsid w:val="000D3A7A"/>
    <w:rsid w:val="000F093C"/>
    <w:rsid w:val="000F3BA1"/>
    <w:rsid w:val="001A5F49"/>
    <w:rsid w:val="002751D4"/>
    <w:rsid w:val="00397706"/>
    <w:rsid w:val="00536360"/>
    <w:rsid w:val="005462D3"/>
    <w:rsid w:val="00595EFE"/>
    <w:rsid w:val="006102FF"/>
    <w:rsid w:val="006124DA"/>
    <w:rsid w:val="00625BCE"/>
    <w:rsid w:val="006461E7"/>
    <w:rsid w:val="006E6D58"/>
    <w:rsid w:val="00747274"/>
    <w:rsid w:val="00866753"/>
    <w:rsid w:val="0092311A"/>
    <w:rsid w:val="0095184C"/>
    <w:rsid w:val="009B2802"/>
    <w:rsid w:val="009B5812"/>
    <w:rsid w:val="00AC2C74"/>
    <w:rsid w:val="00AD7BC5"/>
    <w:rsid w:val="00B63DF1"/>
    <w:rsid w:val="00B91DA5"/>
    <w:rsid w:val="00BB78C7"/>
    <w:rsid w:val="00C15231"/>
    <w:rsid w:val="00CE4B3E"/>
    <w:rsid w:val="00DA0D48"/>
    <w:rsid w:val="00DB29C7"/>
    <w:rsid w:val="00E52180"/>
    <w:rsid w:val="00E87F8C"/>
    <w:rsid w:val="00EE5C1C"/>
    <w:rsid w:val="00F054C4"/>
    <w:rsid w:val="00F86EB9"/>
    <w:rsid w:val="18895C24"/>
    <w:rsid w:val="41C16F4F"/>
    <w:rsid w:val="41C53B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52C5"/>
  <w15:docId w15:val="{D2365B4F-44D0-4E0F-8727-F87974C3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Pr>
      <w:sz w:val="22"/>
      <w:szCs w:val="22"/>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3373</Words>
  <Characters>19231</Characters>
  <Application>Microsoft Office Word</Application>
  <DocSecurity>0</DocSecurity>
  <Lines>160</Lines>
  <Paragraphs>45</Paragraphs>
  <ScaleCrop>false</ScaleCrop>
  <Company>SPecialiST RePack</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ЕДДС</cp:lastModifiedBy>
  <cp:revision>7</cp:revision>
  <dcterms:created xsi:type="dcterms:W3CDTF">2016-12-11T21:10:00Z</dcterms:created>
  <dcterms:modified xsi:type="dcterms:W3CDTF">2023-10-16T08:30:00Z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BEDA99E43E814D87AE6525086C8C47C8</vt:lpwstr>
  </property>
</Properties>
</file>